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920bea3650074bf8" /><Relationship Type="http://schemas.openxmlformats.org/package/2006/relationships/metadata/core-properties" Target="/docProps/core.xml" Id="Rc6732c703150417e" /><Relationship Type="http://schemas.openxmlformats.org/officeDocument/2006/relationships/extended-properties" Target="/docProps/app.xml" Id="R397b0b8d1a644270" /><Relationship Type="http://schemas.openxmlformats.org/officeDocument/2006/relationships/custom-properties" Target="/docProps/custom.xml" Id="Rbdd18490b8084c55"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pStyle w:val="Title"/>
      </w:pPr>
      <w:bookmarkStart w:id="0" w:name="_GoBack"/>
      <w:bookmarkEnd w:id="0"/>
      <w:r>
        <w:t>Initial Review Change Pack</w:t>
      </w:r>
    </w:p>
    <w:p>
      <w:pPr>
        <w:pStyle w:val="heading 1"/>
      </w:pPr>
      <w:r>
        <w:t>Communication Detail</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Comm Reference:</w:t>
            </w:r>
          </w:p>
        </w:tc>
        <w:tc>
          <w:tcPr>
            <w:tcW w:type="pct" w:w="3777"/>
            <w:vAlign w:val="center"/>
          </w:tcPr>
          <w:p>
            <w:pPr>
              <w:rPr>
                <w:rFonts w:cs="Arial"/>
              </w:rPr>
            </w:pPr>
            <w:r>
              <w:rPr>
                <w:rFonts w:cs="Arial"/>
              </w:rPr>
              <w:t>2973.4 - MT - PO</w:t>
            </w:r>
          </w:p>
        </w:tc>
      </w:tr>
      <w:tr>
        <w:trPr>
          <w:trHeight w:hRule="atLeast" w:val="403"/>
        </w:trPr>
        <w:tc>
          <w:tcPr>
            <w:shd w:val="clear" w:fill="B3EDFB"/>
            <w:tcW w:type="pct" w:w="1223"/>
            <w:vAlign w:val="center"/>
          </w:tcPr>
          <w:p>
            <w:pPr>
              <w:rPr>
                <w:rFonts w:cs="Arial"/>
              </w:rPr>
              <w:jc w:val="right"/>
            </w:pPr>
            <w:r>
              <w:rPr>
                <w:rFonts w:cs="Arial"/>
              </w:rPr>
              <w:t>Comm Title:</w:t>
            </w:r>
          </w:p>
        </w:tc>
        <w:tc>
          <w:tcPr>
            <w:tcW w:type="pct" w:w="3777"/>
            <w:vAlign w:val="center"/>
          </w:tcPr>
          <w:p>
            <w:pPr>
              <w:rPr>
                <w:rStyle w:val="eop"/>
                <w:rFonts w:cs="Arial"/>
              </w:rPr>
              <w:spacing w:after="200" w:lineRule="auto" w:line="276"/>
            </w:pPr>
            <w:r>
              <w:rPr>
                <w:rFonts w:cs="Arial"/>
              </w:rPr>
              <w:t>Service to Release Data to UNC Parties</w:t>
            </w:r>
          </w:p>
        </w:tc>
      </w:tr>
      <w:tr>
        <w:trPr>
          <w:trHeight w:hRule="atLeast" w:val="403"/>
        </w:trPr>
        <w:tc>
          <w:tcPr>
            <w:shd w:val="clear" w:fill="B3EDFB"/>
            <w:tcW w:type="pct" w:w="1223"/>
            <w:vAlign w:val="center"/>
          </w:tcPr>
          <w:p>
            <w:pPr>
              <w:rPr>
                <w:rFonts w:cs="Arial"/>
              </w:rPr>
              <w:jc w:val="right"/>
            </w:pPr>
            <w:r>
              <w:rPr>
                <w:rFonts w:cs="Arial"/>
              </w:rPr>
              <w:t>Comm Date:</w:t>
            </w:r>
          </w:p>
        </w:tc>
        <w:tc>
          <w:tcPr>
            <w:tcW w:type="pct" w:w="3777"/>
            <w:vAlign w:val="center"/>
          </w:tcPr>
          <w:p>
            <w:pPr>
              <w:rPr>
                <w:rFonts w:cs="Arial"/>
              </w:rPr>
            </w:pPr>
            <w:r>
              <w:rPr>
                <w:rFonts w:cs="Arial"/>
              </w:rPr>
              <w:t>14/02/2022</w:t>
            </w:r>
          </w:p>
        </w:tc>
      </w:tr>
    </w:tbl>
    <w:p>
      <w:pPr/>
    </w:p>
    <w:p>
      <w:pPr>
        <w:rPr>
          <w:b w:val="1"/>
          <w:bCs w:val="1"/>
          <w:color w:val="3E5AA8"/>
          <w:sz w:val="28"/>
          <w:szCs w:val="28"/>
        </w:rPr>
        <w:spacing w:after="0"/>
      </w:pPr>
      <w:r>
        <w:rPr>
          <w:b w:val="1"/>
          <w:bCs w:val="1"/>
          <w:color w:val="3E5AA8"/>
          <w:sz w:val="28"/>
          <w:szCs w:val="28"/>
        </w:rPr>
        <w:t>Change Representation</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310"/>
        </w:trPr>
        <w:tc>
          <w:tcPr>
            <w:shd w:val="clear" w:fill="B3EDFB"/>
            <w:tcW w:type="pct" w:w="1223"/>
            <w:vAlign w:val="center"/>
          </w:tcPr>
          <w:p>
            <w:pPr>
              <w:rPr>
                <w:rFonts w:cs="Arial"/>
              </w:rPr>
              <w:jc w:val="right"/>
            </w:pPr>
            <w:r>
              <w:rPr>
                <w:rFonts w:cs="Arial"/>
              </w:rPr>
              <w:t>Action Required:</w:t>
            </w:r>
          </w:p>
        </w:tc>
        <w:tc>
          <w:tcPr>
            <w:shd w:val="clear" w:fill="FFFFFF"/>
            <w:tcW w:type="pct" w:w="3777"/>
            <w:vAlign w:val="center"/>
          </w:tcPr>
          <w:p>
            <w:pPr>
              <w:rPr>
                <w:color w:val="000000"/>
                <w:rFonts w:cs="Arial" w:eastAsia="Arial"/>
              </w:rPr>
              <w:spacing w:after="200" w:lineRule="auto" w:line="276"/>
            </w:pPr>
            <w:r>
              <w:rPr>
                <w:color w:val="000000"/>
                <w:rFonts w:cs="Arial" w:eastAsia="Arial"/>
              </w:rPr>
              <w:t>For Representation</w:t>
            </w:r>
          </w:p>
        </w:tc>
      </w:tr>
      <w:tr>
        <w:trPr>
          <w:trHeight w:hRule="atLeast" w:val="403"/>
        </w:trPr>
        <w:tc>
          <w:tcPr>
            <w:shd w:val="clear" w:fill="B3EDFB"/>
            <w:tcW w:type="pct" w:w="1223"/>
            <w:vAlign w:val="center"/>
          </w:tcPr>
          <w:p>
            <w:pPr>
              <w:rPr>
                <w:rFonts w:cs="Arial"/>
              </w:rPr>
              <w:jc w:val="right"/>
            </w:pPr>
            <w:r>
              <w:rPr>
                <w:rFonts w:cs="Arial"/>
              </w:rPr>
              <w:t>Close Out Date:</w:t>
            </w:r>
          </w:p>
        </w:tc>
        <w:tc>
          <w:tcPr>
            <w:shd w:val="clear" w:fill="FFFFFF"/>
            <w:tcW w:type="pct" w:w="3777"/>
            <w:vAlign w:val="center"/>
          </w:tcPr>
          <w:p>
            <w:pPr>
              <w:rPr>
                <w:rFonts w:cs="Arial"/>
              </w:rPr>
            </w:pPr>
            <w:r>
              <w:rPr>
                <w:rFonts w:cs="Arial"/>
              </w:rPr>
              <w:t>28/02/2022</w:t>
            </w:r>
          </w:p>
        </w:tc>
      </w:tr>
    </w:tbl>
    <w:p>
      <w:pPr>
        <w:pStyle w:val="heading 1"/>
      </w:pPr>
      <w:r>
        <w:t>Change Detail</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 xml:space="preserve">Xoserve Reference Number: </w:t>
            </w:r>
          </w:p>
        </w:tc>
        <w:tc>
          <w:tcPr>
            <w:tcW w:type="pct" w:w="3777"/>
            <w:vAlign w:val="center"/>
          </w:tcPr>
          <w:p>
            <w:pPr>
              <w:spacing w:after="200" w:lineRule="auto" w:line="276"/>
            </w:pPr>
            <w:r>
              <w:rPr>
                <w:rFonts w:cs="Arial"/>
              </w:rPr>
              <w:t>XRN5471</w:t>
            </w:r>
          </w:p>
        </w:tc>
      </w:tr>
      <w:tr>
        <w:trPr>
          <w:trHeight w:hRule="atLeast" w:val="403"/>
        </w:trPr>
        <w:tc>
          <w:tcPr>
            <w:shd w:val="clear" w:fill="B3EDFB"/>
            <w:tcW w:type="pct" w:w="1223"/>
            <w:vAlign w:val="center"/>
          </w:tcPr>
          <w:p>
            <w:pPr>
              <w:rPr>
                <w:rFonts w:cs="Arial"/>
              </w:rPr>
              <w:jc w:val="right"/>
            </w:pPr>
            <w:r>
              <w:rPr>
                <w:rFonts w:cs="Arial"/>
              </w:rPr>
              <w:t>Change Class:</w:t>
            </w:r>
          </w:p>
        </w:tc>
        <w:tc>
          <w:tcPr>
            <w:tcW w:type="pct" w:w="3777"/>
            <w:vAlign w:val="center"/>
          </w:tcPr>
          <w:p>
            <w:pPr>
              <w:rPr>
                <w:rFonts w:cs="Arial"/>
              </w:rPr>
            </w:pPr>
            <w:r>
              <w:rPr>
                <w:rFonts w:cs="Arial"/>
              </w:rPr>
              <w:t>New Service</w:t>
            </w:r>
          </w:p>
        </w:tc>
      </w:tr>
      <w:tr>
        <w:trPr>
          <w:trHeight w:hRule="atLeast" w:val="403"/>
        </w:trPr>
        <w:tc>
          <w:tcPr>
            <w:shd w:val="clear" w:fill="B3EDFB"/>
            <w:tcW w:type="pct" w:w="1223"/>
            <w:vAlign w:val="center"/>
          </w:tcPr>
          <w:p>
            <w:pPr>
              <w:rPr>
                <w:rFonts w:cs="Arial"/>
              </w:rPr>
              <w:jc w:val="right"/>
            </w:pPr>
            <w:r>
              <w:rPr>
                <w:rFonts w:cs="Arial"/>
              </w:rPr>
              <w:t>ChMC Constituency Impacted:</w:t>
            </w:r>
          </w:p>
        </w:tc>
        <w:tc>
          <w:tcPr>
            <w:tcW w:type="pct" w:w="3777"/>
            <w:vAlign w:val="center"/>
          </w:tcPr>
          <w:p>
            <w:pPr>
              <w:rPr>
                <w:rFonts w:cs="Arial"/>
              </w:rPr>
            </w:pPr>
            <w:r>
              <w:rPr>
                <w:rFonts w:cs="Arial"/>
              </w:rPr>
              <w:t>Shippers, GTs and IGTs</w:t>
            </w:r>
          </w:p>
          <w:p>
            <w:pPr>
              <w:rPr>
                <w:rFonts w:cs="Arial"/>
              </w:rPr>
            </w:pPr>
          </w:p>
        </w:tc>
      </w:tr>
      <w:tr>
        <w:trPr>
          <w:trHeight w:hRule="atLeast" w:val="403"/>
        </w:trPr>
        <w:tc>
          <w:tcPr>
            <w:shd w:val="clear" w:fill="B3EDFB"/>
            <w:tcW w:type="pct" w:w="1223"/>
            <w:vAlign w:val="center"/>
          </w:tcPr>
          <w:p>
            <w:pPr>
              <w:rPr>
                <w:rFonts w:cs="Arial"/>
              </w:rPr>
              <w:jc w:val="right"/>
            </w:pPr>
            <w:r>
              <w:rPr>
                <w:rFonts w:cs="Arial"/>
              </w:rPr>
              <w:t xml:space="preserve">Change Owner: </w:t>
            </w:r>
          </w:p>
        </w:tc>
        <w:tc>
          <w:tcPr>
            <w:tcW w:type="pct" w:w="3777"/>
            <w:vAlign w:val="center"/>
          </w:tcPr>
          <w:p>
            <w:pPr>
              <w:rPr>
                <w:rFonts w:cs="Arial"/>
              </w:rPr>
            </w:pPr>
            <w:r>
              <w:rPr>
                <w:rFonts w:cs="Arial"/>
              </w:rPr>
              <w:t>James Barlow</w:t>
            </w:r>
          </w:p>
          <w:p>
            <w:pPr>
              <w:rPr>
                <w:rFonts w:cs="Arial"/>
              </w:rPr>
            </w:pPr>
            <w:r>
              <w:rPr>
                <w:rFonts w:cs="Arial"/>
              </w:rPr>
              <w:t>Customer Change Lifecycle Specialist</w:t>
            </w:r>
          </w:p>
          <w:p>
            <w:pPr>
              <w:rPr>
                <w:rFonts w:cs="Arial"/>
              </w:rPr>
            </w:pPr>
            <w:hyperlink r:id="Rd67c011cfec34dd9">
              <w:r>
                <w:rPr>
                  <w:rStyle w:val="Hyperlink"/>
                  <w:rFonts w:cs="Arial"/>
                </w:rPr>
                <w:t>J</w:t>
              </w:r>
              <w:r>
                <w:rPr>
                  <w:rStyle w:val="Hyperlink"/>
                </w:rPr>
                <w:t>ames</w:t>
              </w:r>
              <w:r>
                <w:rPr>
                  <w:rStyle w:val="Hyperlink"/>
                  <w:rFonts w:cs="Arial"/>
                </w:rPr>
                <w:t>.B</w:t>
              </w:r>
              <w:r>
                <w:rPr>
                  <w:rStyle w:val="Hyperlink"/>
                </w:rPr>
                <w:t>arlow</w:t>
              </w:r>
              <w:r>
                <w:rPr>
                  <w:rStyle w:val="Hyperlink"/>
                  <w:rFonts w:cs="Arial"/>
                </w:rPr>
                <w:t>@xoserve.com</w:t>
              </w:r>
            </w:hyperlink>
          </w:p>
          <w:p>
            <w:pPr>
              <w:rPr>
                <w:rFonts w:cs="Arial"/>
              </w:rPr>
            </w:pPr>
            <w:r>
              <w:rPr>
                <w:rFonts w:cs="Arial"/>
              </w:rPr>
              <w:t>0121 229 2802</w:t>
            </w:r>
          </w:p>
        </w:tc>
      </w:tr>
      <w:tr>
        <w:trPr>
          <w:trHeight w:hRule="atLeast" w:val="403"/>
        </w:trPr>
        <w:tc>
          <w:tcPr>
            <w:shd w:val="clear" w:fill="B3EDFB"/>
            <w:tcW w:type="pct" w:w="1223"/>
            <w:vAlign w:val="center"/>
          </w:tcPr>
          <w:p>
            <w:pPr>
              <w:rPr>
                <w:rFonts w:cs="Arial"/>
              </w:rPr>
              <w:jc w:val="right"/>
            </w:pPr>
            <w:r>
              <w:rPr>
                <w:rFonts w:cs="Arial"/>
              </w:rPr>
              <w:t>Background and Context:</w:t>
            </w:r>
          </w:p>
        </w:tc>
        <w:tc>
          <w:tcPr>
            <w:tcW w:type="pct" w:w="3777"/>
            <w:vAlign w:val="center"/>
          </w:tcPr>
          <w:p>
            <w:pPr>
              <w:rPr>
                <w:rStyle w:val="normaltextrun"/>
                <w:rFonts w:ascii="Arial" w:hAnsi="Arial" w:cs="Arial"/>
                <w:sz w:val="22"/>
                <w:szCs w:val="22"/>
              </w:rPr>
              <w:pStyle w:val="paragraph"/>
              <w:spacing w:after="0"/>
            </w:pPr>
            <w:r>
              <w:rPr>
                <w:rStyle w:val="normaltextrun"/>
                <w:rFonts w:ascii="Arial" w:hAnsi="Arial" w:cs="Arial"/>
                <w:sz w:val="22"/>
                <w:szCs w:val="22"/>
              </w:rPr>
              <w:t xml:space="preserve">The purpose of this Initial Review Change Pack, being issued at the request of ChMC following the meeting held on the Wednesday 9th February 2022, is to gather Shipper, IGT and DN member views regarding Change Proposal </w:t>
            </w:r>
            <w:hyperlink r:id="R8ea75c88476b45b8">
              <w:r>
                <w:rPr>
                  <w:rStyle w:val="Hyperlink"/>
                  <w:rFonts w:ascii="Arial" w:hAnsi="Arial" w:cs="Arial"/>
                  <w:sz w:val="22"/>
                  <w:szCs w:val="22"/>
                </w:rPr>
                <w:t>XRN 5471 – Services to Release Data to UNC Parties</w:t>
              </w:r>
            </w:hyperlink>
            <w:r>
              <w:rPr>
                <w:rStyle w:val="normaltextrun"/>
                <w:rFonts w:ascii="Arial" w:hAnsi="Arial" w:cs="Arial"/>
                <w:sz w:val="22"/>
                <w:szCs w:val="22"/>
              </w:rPr>
              <w:t xml:space="preserve">.  </w:t>
            </w:r>
          </w:p>
          <w:p>
            <w:pPr>
              <w:rPr>
                <w:rStyle w:val="normaltextrun"/>
                <w:rFonts w:ascii="Arial" w:hAnsi="Arial" w:cs="Arial"/>
                <w:sz w:val="22"/>
                <w:szCs w:val="22"/>
              </w:rPr>
              <w:pStyle w:val="paragraph"/>
              <w:spacing w:before="0" w:beforeAutospacing="0" w:after="0" w:afterAutospacing="0"/>
            </w:pPr>
            <w:r>
              <w:rPr>
                <w:rStyle w:val="normaltextrun"/>
                <w:rFonts w:ascii="Arial" w:hAnsi="Arial" w:cs="Arial"/>
                <w:sz w:val="22"/>
                <w:szCs w:val="22"/>
              </w:rPr>
              <w:t>The CDSP discussed the change at ChMC and asked if constitue</w:t>
            </w:r>
            <w:r>
              <w:rPr>
                <w:rStyle w:val="normaltextrun"/>
                <w:rFonts w:ascii="Arial" w:hAnsi="Arial" w:cs="Arial"/>
                <w:sz w:val="22"/>
                <w:szCs w:val="22"/>
              </w:rPr>
              <w:t>nts are happy to progress with development of XRN5471. DSC Change Management Representatives requested that the change be issued for an Initial Review consultation, to allow organisations to review the Change Proposal ahead of seeking a decision as to whet</w:t>
            </w:r>
            <w:r>
              <w:rPr>
                <w:rStyle w:val="normaltextrun"/>
                <w:rFonts w:ascii="Arial" w:hAnsi="Arial" w:cs="Arial"/>
                <w:sz w:val="22"/>
                <w:szCs w:val="22"/>
              </w:rPr>
              <w:t>her the change should progress.</w:t>
            </w:r>
          </w:p>
          <w:p>
            <w:pPr>
              <w:rPr>
                <w:rFonts w:ascii="&amp;quot" w:hAnsi="&amp;quot"/>
                <w:sz w:val="18"/>
                <w:szCs w:val="18"/>
              </w:rPr>
              <w:pStyle w:val="paragraph"/>
              <w:spacing w:before="0" w:beforeAutospacing="0" w:after="0" w:afterAutospacing="0"/>
            </w:pPr>
          </w:p>
        </w:tc>
      </w:tr>
    </w:tbl>
    <w:p>
      <w:pPr>
        <w:pStyle w:val="heading 1"/>
      </w:pPr>
      <w:r>
        <w:t>Change Impact Assessment Dashboard (UK Link)</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Functional:</w:t>
            </w:r>
          </w:p>
        </w:tc>
        <w:tc>
          <w:tcPr>
            <w:shd w:val="clear" w:fill="FFFFFF"/>
            <w:tcW w:type="pct" w:w="3777"/>
            <w:vAlign w:val="center"/>
          </w:tcPr>
          <w:p>
            <w:pPr>
              <w:rPr>
                <w:rFonts w:cs="Arial"/>
              </w:rPr>
            </w:pPr>
            <w:r>
              <w:rPr>
                <w:rFonts w:cs="Arial"/>
              </w:rPr>
              <w:t>New service</w:t>
            </w:r>
          </w:p>
        </w:tc>
      </w:tr>
      <w:tr>
        <w:trPr>
          <w:trHeight w:hRule="atLeast" w:val="403"/>
        </w:trPr>
        <w:tc>
          <w:tcPr>
            <w:shd w:val="clear" w:fill="B3EDFB"/>
            <w:tcW w:type="pct" w:w="1223"/>
            <w:vAlign w:val="center"/>
          </w:tcPr>
          <w:p>
            <w:pPr>
              <w:rPr>
                <w:rFonts w:cs="Arial"/>
              </w:rPr>
              <w:jc w:val="right"/>
            </w:pPr>
            <w:r>
              <w:rPr>
                <w:rFonts w:cs="Arial"/>
              </w:rPr>
              <w:t>Non-Functional:</w:t>
            </w:r>
          </w:p>
        </w:tc>
        <w:tc>
          <w:tcPr>
            <w:shd w:val="clear" w:fill="FFFFFF"/>
            <w:tcW w:type="pct" w:w="3777"/>
            <w:vAlign w:val="center"/>
          </w:tcPr>
          <w:p>
            <w:pPr>
              <w:rPr>
                <w:rFonts w:cs="Arial"/>
              </w:rPr>
            </w:pPr>
            <w:r>
              <w:rPr>
                <w:rFonts w:cs="Arial"/>
              </w:rPr>
              <w:t>N/A</w:t>
            </w:r>
          </w:p>
        </w:tc>
      </w:tr>
      <w:tr>
        <w:trPr>
          <w:trHeight w:hRule="atLeast" w:val="403"/>
        </w:trPr>
        <w:tc>
          <w:tcPr>
            <w:shd w:val="clear" w:fill="B3EDFB"/>
            <w:tcW w:type="pct" w:w="1223"/>
            <w:vAlign w:val="center"/>
          </w:tcPr>
          <w:p>
            <w:pPr>
              <w:rPr>
                <w:rFonts w:cs="Arial"/>
              </w:rPr>
              <w:jc w:val="right"/>
            </w:pPr>
            <w:r>
              <w:rPr>
                <w:rFonts w:cs="Arial"/>
              </w:rPr>
              <w:t>Application:</w:t>
            </w:r>
          </w:p>
        </w:tc>
        <w:tc>
          <w:tcPr>
            <w:shd w:val="clear" w:fill="FFFFFF"/>
            <w:tcW w:type="pct" w:w="3777"/>
            <w:vAlign w:val="center"/>
          </w:tcPr>
          <w:p>
            <w:pPr>
              <w:rPr>
                <w:shd w:val="clear" w:fill="FFFF00"/>
                <w:rFonts w:cs="Arial"/>
                <w:highlight w:val="yellow"/>
              </w:rPr>
            </w:pPr>
            <w:r>
              <w:t>N/A</w:t>
            </w:r>
          </w:p>
        </w:tc>
      </w:tr>
      <w:tr>
        <w:trPr>
          <w:trHeight w:hRule="atLeast" w:val="403"/>
        </w:trPr>
        <w:tc>
          <w:tcPr>
            <w:shd w:val="clear" w:fill="B3EDFB"/>
            <w:tcW w:type="pct" w:w="1223"/>
            <w:vAlign w:val="center"/>
          </w:tcPr>
          <w:p>
            <w:pPr>
              <w:rPr>
                <w:rFonts w:cs="Arial"/>
              </w:rPr>
              <w:jc w:val="right"/>
            </w:pPr>
            <w:r>
              <w:rPr>
                <w:rFonts w:cs="Arial"/>
              </w:rPr>
              <w:t>User(s):</w:t>
            </w:r>
          </w:p>
        </w:tc>
        <w:tc>
          <w:tcPr>
            <w:shd w:val="clear" w:fill="FFFFFF"/>
            <w:tcW w:type="pct" w:w="3777"/>
            <w:vAlign w:val="center"/>
          </w:tcPr>
          <w:p>
            <w:pPr>
              <w:rPr>
                <w:shd w:val="clear" w:fill="FFFF00"/>
                <w:rFonts w:cs="Arial"/>
                <w:highlight w:val="yellow"/>
              </w:rPr>
            </w:pPr>
            <w:r>
              <w:rPr>
                <w:rFonts w:cs="Arial"/>
              </w:rPr>
              <w:t>Shipper Users, GTs, IGTs</w:t>
            </w:r>
          </w:p>
        </w:tc>
      </w:tr>
    </w:tbl>
    <w:p>
      <w:pPr>
        <w:pStyle w:val="heading 1"/>
      </w:pPr>
      <w:r>
        <w:t>Change Description</w:t>
      </w:r>
    </w:p>
    <w:tbl>
      <w:tblPr>
        <w:tblStyle w:val="Table Grid"/>
        <w:tblInd w:type="dxa" w:w="-34"/>
        <w:tblW w:type="pct" w:w="5018"/>
        <w:tblLook w:firstColumn="1" w:firstRow="1" w:lastColumn="0" w:lastRow="0" w:noHBand="0" w:noVBand="1"/>
      </w:tblPr>
      <w:tblGrid>
        <w:gridCol w:w="9048"/>
      </w:tblGrid>
      <w:tr>
        <w:trPr>
          <w:trHeight w:hRule="atLeast" w:val="1352"/>
        </w:trPr>
        <w:tc>
          <w:tcPr>
            <w:tcW w:type="pct" w:w="5000"/>
          </w:tcPr>
          <w:p>
            <w:pPr>
              <w:rPr>
                <w:rFonts w:ascii="Segoe UI" w:hAnsi="Segoe UI" w:cs="Segoe UI"/>
                <w:sz w:val="18"/>
                <w:szCs w:val="18"/>
              </w:rPr>
            </w:pPr>
            <w:r>
              <w:rPr>
                <w:rFonts w:cs="Arial"/>
              </w:rPr>
              <w:t xml:space="preserve">DSC parties have indicated that they consider that they have specific use cases for access to data for them to fulfil activities necessary for them under UNC and Licence. They have indicated that they expect that they have specific data requirements based </w:t>
            </w:r>
            <w:r>
              <w:rPr>
                <w:rFonts w:cs="Arial"/>
              </w:rPr>
              <w:t xml:space="preserve">on </w:t>
            </w:r>
            <w:r>
              <w:rPr>
                <w:rFonts w:cs="Arial"/>
              </w:rPr>
              <w:t>particular use</w:t>
            </w:r>
            <w:r>
              <w:rPr>
                <w:rFonts w:cs="Arial"/>
              </w:rPr>
              <w:t xml:space="preserve"> cases and would like to specify the necessary data that their users will wish to access rather than necessarily progressing through a series of screens to access a standard set of data. </w:t>
            </w:r>
          </w:p>
          <w:p>
            <w:pPr>
              <w:rPr>
                <w:rFonts w:ascii="Segoe UI" w:hAnsi="Segoe UI" w:cs="Segoe UI"/>
                <w:sz w:val="18"/>
                <w:szCs w:val="18"/>
              </w:rPr>
            </w:pPr>
            <w:r>
              <w:rPr>
                <w:rFonts w:cs="Arial"/>
              </w:rPr>
              <w:t> </w:t>
            </w:r>
          </w:p>
          <w:p>
            <w:pPr>
              <w:rPr>
                <w:rFonts w:ascii="Segoe UI" w:hAnsi="Segoe UI" w:cs="Segoe UI"/>
                <w:sz w:val="18"/>
                <w:szCs w:val="18"/>
              </w:rPr>
            </w:pPr>
            <w:r>
              <w:rPr>
                <w:rFonts w:cs="Arial"/>
              </w:rPr>
              <w:t>It is expected that this will need to provide a U</w:t>
            </w:r>
            <w:r>
              <w:rPr>
                <w:rFonts w:cs="Arial"/>
              </w:rPr>
              <w:t>ser Interface – and based upon prescribed search criteria (that will need to be defined for each use case) will return a specified set of data items (which again will be specified per use case).  </w:t>
            </w:r>
          </w:p>
          <w:p>
            <w:pPr>
              <w:rPr>
                <w:rFonts w:ascii="Segoe UI" w:hAnsi="Segoe UI" w:cs="Segoe UI"/>
                <w:sz w:val="18"/>
                <w:szCs w:val="18"/>
              </w:rPr>
            </w:pPr>
            <w:r>
              <w:rPr>
                <w:rFonts w:cs="Arial"/>
              </w:rPr>
              <w:t> </w:t>
            </w:r>
          </w:p>
          <w:p>
            <w:pPr>
              <w:rPr>
                <w:rFonts w:ascii="Segoe UI" w:hAnsi="Segoe UI" w:cs="Segoe UI"/>
                <w:sz w:val="18"/>
                <w:szCs w:val="18"/>
              </w:rPr>
            </w:pPr>
            <w:r>
              <w:rPr>
                <w:rFonts w:cs="Arial"/>
              </w:rPr>
              <w:t>The service being proposed would be available to core DSC</w:t>
            </w:r>
            <w:r>
              <w:rPr>
                <w:rFonts w:cs="Arial"/>
              </w:rPr>
              <w:t xml:space="preserve"> customers – and may be extended to Service Providers, such as the DMSP, in the future.  </w:t>
            </w:r>
          </w:p>
          <w:p>
            <w:pPr>
              <w:rPr>
                <w:rFonts w:ascii="Segoe UI" w:hAnsi="Segoe UI" w:cs="Segoe UI"/>
                <w:sz w:val="18"/>
                <w:szCs w:val="18"/>
              </w:rPr>
            </w:pPr>
            <w:r>
              <w:rPr>
                <w:rFonts w:cs="Arial"/>
              </w:rPr>
              <w:t> </w:t>
            </w:r>
          </w:p>
          <w:p>
            <w:pPr>
              <w:rPr>
                <w:rFonts w:ascii="Segoe UI" w:hAnsi="Segoe UI" w:cs="Segoe UI"/>
                <w:sz w:val="18"/>
                <w:szCs w:val="18"/>
              </w:rPr>
            </w:pPr>
            <w:r>
              <w:rPr>
                <w:rFonts w:cs="Arial"/>
              </w:rPr>
              <w:t>It is expected that users will need to access this data via a user interface (screen) and it is not expected that this will be a machine to machine API. </w:t>
            </w:r>
          </w:p>
          <w:p>
            <w:pPr>
              <w:rPr>
                <w:rFonts w:cs="Arial"/>
              </w:rPr>
              <w:spacing w:before="120"/>
            </w:pPr>
            <w:r>
              <w:rPr>
                <w:rFonts w:cs="Arial"/>
              </w:rPr>
              <w:t>Please con</w:t>
            </w:r>
            <w:r>
              <w:rPr>
                <w:rFonts w:cs="Arial"/>
              </w:rPr>
              <w:t>sider the following questions within your representation and include the rationale for each response:</w:t>
            </w:r>
          </w:p>
          <w:p>
            <w:pPr>
              <w:rPr>
                <w:rFonts w:cs="Arial"/>
              </w:rPr>
              <w:numPr>
                <w:ilvl w:val="0"/>
                <w:numId w:val="1"/>
              </w:numPr>
              <w:pStyle w:val="List Paragraph"/>
              <w:spacing w:before="120"/>
            </w:pPr>
            <w:r>
              <w:rPr>
                <w:rFonts w:cs="Arial"/>
              </w:rPr>
              <w:t xml:space="preserve">Do you support the creation of a new DSC service to enable the release of data to UNC Parties via a User Interface?  </w:t>
            </w:r>
          </w:p>
          <w:p>
            <w:pPr>
              <w:rPr>
                <w:rFonts w:cs="Arial"/>
              </w:rPr>
              <w:pStyle w:val="List Paragraph"/>
              <w:spacing w:before="120"/>
            </w:pPr>
          </w:p>
          <w:p>
            <w:pPr>
              <w:rPr>
                <w:rFonts w:cs="Arial"/>
              </w:rPr>
              <w:numPr>
                <w:ilvl w:val="0"/>
                <w:numId w:val="1"/>
              </w:numPr>
              <w:pStyle w:val="List Paragraph"/>
              <w:spacing w:before="120"/>
            </w:pPr>
            <w:r>
              <w:rPr>
                <w:rFonts w:cs="Arial"/>
              </w:rPr>
              <w:t>Do you think the change proposed wi</w:t>
            </w:r>
            <w:r>
              <w:rPr>
                <w:rFonts w:cs="Arial"/>
              </w:rPr>
              <w:t xml:space="preserve">ll benefit your organisation and/or the market? </w:t>
            </w:r>
          </w:p>
          <w:p>
            <w:pPr>
              <w:rPr>
                <w:rFonts w:cs="Arial"/>
              </w:rPr>
              <w:pStyle w:val="List Paragraph"/>
              <w:spacing w:before="120"/>
            </w:pPr>
          </w:p>
          <w:p>
            <w:pPr>
              <w:rPr>
                <w:rFonts w:cs="Arial"/>
              </w:rPr>
              <w:numPr>
                <w:ilvl w:val="0"/>
                <w:numId w:val="1"/>
              </w:numPr>
              <w:pStyle w:val="List Paragraph"/>
              <w:spacing w:before="120"/>
            </w:pPr>
            <w:r>
              <w:rPr>
                <w:rFonts w:cs="Arial"/>
              </w:rPr>
              <w:t>Do you believe that the change proposed presents any adverse risks or impacts to your organisation and/or the market?</w:t>
            </w:r>
          </w:p>
          <w:p>
            <w:pPr>
              <w:rPr>
                <w:rFonts w:cs="Arial"/>
              </w:rPr>
              <w:pStyle w:val="List Paragraph"/>
              <w:spacing w:before="120"/>
            </w:pPr>
          </w:p>
          <w:p>
            <w:pPr>
              <w:rPr>
                <w:rFonts w:cs="Arial"/>
              </w:rPr>
              <w:numPr>
                <w:ilvl w:val="0"/>
                <w:numId w:val="1"/>
              </w:numPr>
              <w:pStyle w:val="List Paragraph"/>
              <w:spacing w:before="120"/>
            </w:pPr>
            <w:r>
              <w:rPr>
                <w:rFonts w:cs="Arial"/>
              </w:rPr>
              <w:t>Would you envisage the implementation of the proposed change forming part of a DSC Release (Minor/Major)?</w:t>
            </w:r>
          </w:p>
          <w:p>
            <w:pPr>
              <w:rPr>
                <w:rFonts w:cs="Arial"/>
              </w:rPr>
              <w:spacing w:before="120"/>
            </w:pPr>
          </w:p>
        </w:tc>
      </w:tr>
    </w:tbl>
    <w:p>
      <w:pPr>
        <w:pStyle w:val="heading 1"/>
      </w:pPr>
      <w:r>
        <w:t>DSG</w:t>
      </w:r>
    </w:p>
    <w:tbl>
      <w:tblPr>
        <w:tblStyle w:val="Table Grid"/>
        <w:tblLayout w:type="fixed"/>
        <w:tblInd w:type="dxa" w:w="-34"/>
        <w:tblW w:type="pct" w:w="5018"/>
        <w:tblLook w:firstColumn="1" w:firstRow="1" w:lastColumn="0" w:lastRow="0" w:noHBand="0" w:noVBand="1"/>
      </w:tblPr>
      <w:tblGrid>
        <w:gridCol w:w="2213"/>
        <w:gridCol w:w="6835"/>
      </w:tblGrid>
      <w:tr>
        <w:trPr>
          <w:trHeight w:hRule="atLeast" w:val="403"/>
        </w:trPr>
        <w:tc>
          <w:tcPr>
            <w:shd w:val="clear" w:fill="B3EDFB"/>
            <w:tcW w:type="pct" w:w="1223"/>
            <w:vAlign w:val="center"/>
          </w:tcPr>
          <w:p>
            <w:pPr>
              <w:rPr>
                <w:rFonts w:cs="Arial"/>
              </w:rPr>
              <w:jc w:val="right"/>
            </w:pPr>
            <w:r>
              <w:rPr>
                <w:rFonts w:cs="Arial"/>
              </w:rPr>
              <w:t>Target DSG discussion date:</w:t>
            </w:r>
          </w:p>
        </w:tc>
        <w:tc>
          <w:tcPr>
            <w:tcW w:type="pct" w:w="3777"/>
            <w:vAlign w:val="center"/>
          </w:tcPr>
          <w:p>
            <w:pPr>
              <w:rPr>
                <w:rFonts w:cs="Arial"/>
              </w:rPr>
            </w:pPr>
            <w:r>
              <w:rPr>
                <w:rFonts w:cs="Arial"/>
              </w:rPr>
              <w:t>21/02/2022</w:t>
            </w:r>
          </w:p>
        </w:tc>
      </w:tr>
      <w:tr>
        <w:trPr>
          <w:trHeight w:hRule="atLeast" w:val="403"/>
        </w:trPr>
        <w:tc>
          <w:tcPr>
            <w:shd w:val="clear" w:fill="B3EDFB"/>
            <w:tcW w:type="pct" w:w="1223"/>
            <w:vAlign w:val="center"/>
          </w:tcPr>
          <w:p>
            <w:pPr>
              <w:rPr>
                <w:rFonts w:cs="Arial"/>
              </w:rPr>
              <w:jc w:val="right"/>
            </w:pPr>
            <w:r>
              <w:rPr>
                <w:rFonts w:cs="Arial"/>
              </w:rPr>
              <w:t>Any further information:</w:t>
            </w:r>
          </w:p>
        </w:tc>
        <w:tc>
          <w:tcPr>
            <w:tcW w:type="pct" w:w="3777"/>
            <w:vAlign w:val="center"/>
          </w:tcPr>
          <w:p>
            <w:pPr>
              <w:rPr>
                <w:rFonts w:cs="Arial"/>
              </w:rPr>
            </w:pPr>
            <w:r>
              <w:rPr>
                <w:rFonts w:cs="Arial"/>
              </w:rPr>
              <w:t>N/A</w:t>
            </w:r>
          </w:p>
        </w:tc>
      </w:tr>
    </w:tbl>
    <w:p>
      <w:pPr/>
    </w:p>
    <w:p>
      <w:pPr>
        <w:pStyle w:val="Title"/>
      </w:pPr>
      <w:r>
        <w:br w:type="page"/>
      </w:r>
      <w:r>
        <w:t>Section H: Representation Response</w:t>
      </w:r>
    </w:p>
    <w:p>
      <w:pPr/>
      <w:r>
        <w:br w:type="textWrapping"/>
      </w:r>
      <w:r>
        <w:br w:type="textWrapping"/>
      </w:r>
      <w:r>
        <w:rPr>
          <w:rStyle w:val="Heading 1 Char"/>
        </w:rPr>
        <w:t>H1: Change Representation</w:t>
      </w:r>
      <w:r>
        <w:t xml:space="preserve"> </w:t>
      </w:r>
    </w:p>
    <w:p>
      <w:pPr/>
      <w:r>
        <w:t>(To be completed by User and returned for response)</w:t>
      </w:r>
    </w:p>
    <w:p>
      <w:pPr>
        <w:rPr>
          <w:color w:val="auto"/>
          <w:i w:val="1"/>
          <w:iCs w:val="1"/>
          <w:sz w:val="22"/>
          <w:szCs w:val="22"/>
        </w:rPr>
        <w:pStyle w:val="heading 1"/>
      </w:pPr>
      <w:r>
        <w:rPr>
          <w:color w:val="auto"/>
          <w:i w:val="1"/>
          <w:iCs w:val="1"/>
          <w:sz w:val="22"/>
          <w:szCs w:val="22"/>
        </w:rPr>
        <w:t>Please consider any commercial impacts to your organisation that Xoserve need to be aware of when formulating your response</w:t>
      </w:r>
    </w:p>
    <w:p>
      <w:pPr/>
    </w:p>
    <w:tbl>
      <w:tblPr>
        <w:tblStyle w:val="Table Grid"/>
        <w:tblInd w:type="dxa" w:w="-34"/>
        <w:tblW w:type="pct" w:w="5000"/>
        <w:tblLook w:firstColumn="1" w:firstRow="1" w:lastColumn="0" w:lastRow="0" w:noHBand="0" w:noVBand="1"/>
      </w:tblPr>
      <w:tblGrid>
        <w:gridCol w:w="2205"/>
        <w:gridCol w:w="1654"/>
        <w:gridCol w:w="965"/>
        <w:gridCol w:w="4192"/>
      </w:tblGrid>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vMerge w:val="restart"/>
          </w:tcPr>
          <w:p>
            <w:pPr>
              <w:rPr>
                <w:rFonts w:cs="Arial"/>
              </w:rPr>
              <w:jc w:val="right"/>
            </w:pPr>
            <w:r>
              <w:rPr>
                <w:rFonts w:cs="Arial"/>
              </w:rPr>
              <w:t>User Contact Details:</w:t>
            </w: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Organisation:</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Northern Gas Networks</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Name: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Helen Chandler</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Email:</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hchandler@northerngas.co.uk</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Telephone: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07580704123</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Status: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Support</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Publication:</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Publish</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Comments: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Northern Gas Networks support the principle of development of a new user interfacing enquiry service to replace DES (once this has moved to GES), to allow DSC parties to access data required for necessary activities.</w:t>
            </w:r>
            <w:r>
              <w:br w:type="textWrapping"/>
            </w:r>
            <w:r>
              <w:t>We are aware that a solution is still r</w:t>
            </w:r>
            <w:r>
              <w:t>equired, however as there are currently numerous data projects going on both within Correla and NGN, we are unable to add further comment until we can see the various solution options that will be proposed, including details of the data items, delivery (E.</w:t>
            </w:r>
            <w:r>
              <w:t xml:space="preserve">g. DDP, Email, CMS etc),  frequency and whether these contain real time data, as well as various options for alternative methods of delivery. </w:t>
            </w:r>
            <w:r>
              <w:br w:type="textWrapping"/>
            </w:r>
            <w:r>
              <w:br w:type="textWrapping"/>
            </w:r>
            <w:r>
              <w:t xml:space="preserve">We are reluctant to rely solely on GES, as this is under the control of REC, and therefore we have no certainty </w:t>
            </w:r>
            <w:r>
              <w:t>that the data items will remain as currently built, or that the funding methodology will not change. We therefore wish for this proposal to remain open with options, and potential costs, being explored in more detail by Xoserve/Correla and DSC parties.</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Co</w:t>
            </w:r>
            <w:r>
              <w:rPr>
                <w:rFonts w:cs="Arial"/>
              </w:rPr>
              <w:t>nfirm Target Release Date?</w:t>
            </w:r>
          </w:p>
        </w:tc>
        <w:tc>
          <w:tcPr>
            <w:tcW w:type="pct" w:w="1452"/>
            <w:vAlign w:val="center"/>
            <w:tcBorders>
              <w:left w:val="single" w:sz="4" w:space="0" w:color="auto"/>
              <w:top w:val="single" w:sz="4" w:space="0" w:color="auto"/>
              <w:right w:val="single" w:sz="4" w:space="0" w:color="auto"/>
              <w:bottom w:val="single" w:sz="4" w:space="0" w:color="auto"/>
            </w:tcBorders>
            <w:gridSpan w:val="2"/>
          </w:tcPr>
          <w:p>
            <w:pPr>
              <w:rPr>
                <w:rFonts w:cs="Arial"/>
              </w:rPr>
            </w:pPr>
            <w:r>
              <w:t>Yes</w:t>
            </w:r>
          </w:p>
        </w:tc>
        <w:tc>
          <w:tcPr>
            <w:tcW w:type="pct" w:w="2325"/>
            <w:vAlign w:val="center"/>
            <w:tcBorders>
              <w:left w:val="single" w:sz="4" w:space="0" w:color="auto"/>
              <w:top w:val="single" w:sz="4" w:space="0" w:color="auto"/>
              <w:right w:val="single" w:sz="4" w:space="0" w:color="auto"/>
              <w:bottom w:val="single" w:sz="4" w:space="0" w:color="auto"/>
            </w:tcBorders>
          </w:tcPr>
          <w:p>
            <w:pPr>
              <w:rPr>
                <w:rFonts w:cs="Arial"/>
              </w:rPr>
            </w:pPr>
            <w:r>
              <w:fldChar w:fldCharType="begin"/>
            </w:r>
            <w:r>
              <w:rPr>
                <w:rFonts w:cs="Arial"/>
              </w:rPr>
              <w:instrText xml:space="preserve"> MERGEFIELD    h1_userDataAlternative  \* MERGEFORMAT</w:instrText>
            </w:r>
            <w:r>
              <w:fldChar w:fldCharType="separate"/>
            </w:r>
            <w:r>
              <w:rPr>
                <w:rFonts w:cs="Arial"/>
              </w:rPr>
              <w:t>«h1_userDataAlternative»</w:t>
            </w:r>
            <w:r>
              <w:fldChar w:fldCharType="end"/>
            </w:r>
          </w:p>
        </w:tc>
      </w:tr>
    </w:tbl>
    <w:p>
      <w:pPr/>
    </w:p>
    <w:p>
      <w:pPr>
        <w:pStyle w:val="heading 1"/>
      </w:pPr>
      <w:r>
        <w:t xml:space="preserve">H1: Xoserve’ s Response </w:t>
      </w:r>
    </w:p>
    <w:tbl>
      <w:tblPr>
        <w:tblStyle w:val="Table Grid"/>
        <w:tblInd w:type="dxa" w:w="-34"/>
        <w:tblW w:type="pct" w:w="5000"/>
        <w:tblLook w:firstColumn="1" w:firstRow="1" w:lastColumn="0" w:lastRow="0" w:noHBand="0" w:noVBand="1"/>
      </w:tblPr>
      <w:tblGrid>
        <w:gridCol w:w="2205"/>
        <w:gridCol w:w="6811"/>
      </w:tblGrid>
      <w:tr>
        <w:trPr>
          <w:trHeight w:hRule="atLeast" w:val="66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Xoserve Response to Organisations Comments:</w:t>
            </w:r>
          </w:p>
        </w:tc>
        <w:tc>
          <w:tcPr>
            <w:tcW w:type="pct" w:w="3777"/>
            <w:vAlign w:val="center"/>
            <w:tcBorders>
              <w:left w:val="single" w:sz="4" w:space="0" w:color="auto"/>
              <w:top w:val="single" w:sz="4" w:space="0" w:color="auto"/>
              <w:right w:val="single" w:sz="4" w:space="0" w:color="auto"/>
              <w:bottom w:val="single" w:sz="4" w:space="0" w:color="auto"/>
            </w:tcBorders>
          </w:tcPr>
          <w:p>
            <w:pPr>
              <w:rPr>
                <w:rFonts w:cs="Arial"/>
              </w:rPr>
            </w:pPr>
            <w:r>
              <w:t>As per discussions at the DN constituency meeting on 3rd March 2022, in th</w:t>
            </w:r>
            <w:r>
              <w:t>e first instance DN parties require clarity on what data services are available, currently, from the CDSP under DSC service lines. There is an action from CoMC for this information to be sourced and provided and, in addition to this, a number of queries on</w:t>
            </w:r>
            <w:r>
              <w:t xml:space="preserve"> the functionality in GES were taken from the constituency meeting for the CDSP to investigate and feedback on.</w:t>
            </w:r>
            <w:r>
              <w:br w:type="textWrapping"/>
            </w:r>
            <w:r>
              <w:br w:type="textWrapping"/>
            </w:r>
            <w:r>
              <w:t xml:space="preserve">Until the above actions are complete, and subsequently the requirement for/scope of this change can be confirmed it will be on hold but remain </w:t>
            </w:r>
            <w:r>
              <w:t>open subject to discussion and approval at Change Management Committee on 9th March 2022.</w:t>
            </w:r>
          </w:p>
        </w:tc>
      </w:tr>
    </w:tbl>
    <w:p>
      <w:pPr/>
    </w:p>
    <w:p>
      <w:pPr/>
    </w:p>
    <w:p>
      <w:pPr/>
      <w:r>
        <w:br w:type="textWrapping"/>
      </w:r>
      <w:r>
        <w:br w:type="textWrapping"/>
      </w:r>
      <w:r>
        <w:rPr>
          <w:rStyle w:val="Heading 1 Char"/>
        </w:rPr>
        <w:t>H1: Change Representation</w:t>
      </w:r>
      <w:r>
        <w:t xml:space="preserve"> </w:t>
      </w:r>
    </w:p>
    <w:p>
      <w:pPr/>
      <w:r>
        <w:t>(To be completed by User and returned for response)</w:t>
      </w:r>
    </w:p>
    <w:p>
      <w:pPr>
        <w:rPr>
          <w:color w:val="auto"/>
          <w:i w:val="1"/>
          <w:iCs w:val="1"/>
          <w:sz w:val="22"/>
          <w:szCs w:val="22"/>
        </w:rPr>
        <w:pStyle w:val="heading 1"/>
      </w:pPr>
      <w:r>
        <w:rPr>
          <w:color w:val="auto"/>
          <w:i w:val="1"/>
          <w:iCs w:val="1"/>
          <w:sz w:val="22"/>
          <w:szCs w:val="22"/>
        </w:rPr>
        <w:t>Please consider any commercial impacts to your organisation that Xoserve need to be aware of when formulating your response</w:t>
      </w:r>
    </w:p>
    <w:p>
      <w:pPr/>
    </w:p>
    <w:tbl>
      <w:tblPr>
        <w:tblStyle w:val="Table Grid"/>
        <w:tblInd w:type="dxa" w:w="-34"/>
        <w:tblW w:type="pct" w:w="5000"/>
        <w:tblLook w:firstColumn="1" w:firstRow="1" w:lastColumn="0" w:lastRow="0" w:noHBand="0" w:noVBand="1"/>
      </w:tblPr>
      <w:tblGrid>
        <w:gridCol w:w="2205"/>
        <w:gridCol w:w="1654"/>
        <w:gridCol w:w="965"/>
        <w:gridCol w:w="4192"/>
      </w:tblGrid>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vMerge w:val="restart"/>
          </w:tcPr>
          <w:p>
            <w:pPr>
              <w:rPr>
                <w:rFonts w:cs="Arial"/>
              </w:rPr>
              <w:jc w:val="right"/>
            </w:pPr>
            <w:r>
              <w:rPr>
                <w:rFonts w:cs="Arial"/>
              </w:rPr>
              <w:t>User Contact Details:</w:t>
            </w: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Organisation:</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Scotland Gas Networks and Southern Gas Networks Ltd</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Name: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Sally Hardman</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Email:</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sally.hardman@sgn.co.uk</w:t>
            </w:r>
          </w:p>
        </w:tc>
      </w:tr>
      <w:tr>
        <w:trPr>
          <w:trHeight w:hRule="atLeast" w:val="403"/>
        </w:trPr>
        <w:tc>
          <w:tcPr>
            <w:tcW w:type="auto" w:w="0"/>
            <w:vAlign w:val="center"/>
            <w:tcBorders>
              <w:left w:val="single" w:sz="4" w:space="0" w:color="auto"/>
              <w:top w:val="single" w:sz="4" w:space="0" w:color="auto"/>
              <w:right w:val="single" w:sz="4" w:space="0" w:color="auto"/>
              <w:bottom w:val="single" w:sz="4" w:space="0" w:color="auto"/>
            </w:tcBorders>
            <w:vMerge w:val="continue"/>
          </w:tcPr>
          <w:p/>
        </w:tc>
        <w:tc>
          <w:tcPr>
            <w:shd w:val="clear" w:fill="B3EDFB"/>
            <w:tcW w:type="pct" w:w="917"/>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Telephone:</w:t>
            </w:r>
          </w:p>
        </w:tc>
        <w:tc>
          <w:tcPr>
            <w:tcW w:type="pct" w:w="2860"/>
            <w:vAlign w:val="center"/>
            <w:tcBorders>
              <w:left w:val="single" w:sz="4" w:space="0" w:color="auto"/>
              <w:top w:val="single" w:sz="4" w:space="0" w:color="auto"/>
              <w:right w:val="single" w:sz="4" w:space="0" w:color="auto"/>
              <w:bottom w:val="single" w:sz="4" w:space="0" w:color="auto"/>
            </w:tcBorders>
            <w:gridSpan w:val="2"/>
          </w:tcPr>
          <w:p>
            <w:pPr>
              <w:rPr>
                <w:rFonts w:cs="Arial"/>
              </w:rPr>
            </w:pPr>
            <w:r>
              <w:t>07970019027</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Status: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 xml:space="preserve">Support </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Publication:</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Publish</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Representation Comments:</w:t>
            </w:r>
          </w:p>
        </w:tc>
        <w:tc>
          <w:tcPr>
            <w:tcW w:type="pct" w:w="3777"/>
            <w:vAlign w:val="center"/>
            <w:tcBorders>
              <w:left w:val="single" w:sz="4" w:space="0" w:color="auto"/>
              <w:top w:val="single" w:sz="4" w:space="0" w:color="auto"/>
              <w:right w:val="single" w:sz="4" w:space="0" w:color="auto"/>
              <w:bottom w:val="single" w:sz="4" w:space="0" w:color="auto"/>
            </w:tcBorders>
            <w:gridSpan w:val="3"/>
          </w:tcPr>
          <w:p>
            <w:pPr>
              <w:rPr>
                <w:rFonts w:cs="Arial"/>
              </w:rPr>
            </w:pPr>
            <w:r>
              <w:t>SGN would support additional assessment by Xoserve specifically on those data items provided within the Data Enquiry Service (DES) that are not currently provisioned to DSC Parties via existing reporting or the Data Discovery Platform (DDP).</w:t>
            </w:r>
            <w:r>
              <w:br w:type="textWrapping"/>
            </w:r>
            <w:r>
              <w:br w:type="textWrapping"/>
            </w:r>
            <w:r>
              <w:t>We would be i</w:t>
            </w:r>
            <w:r>
              <w:t>nterested to understand the potential costs which could be associated with providing various Use Cases to DSC Parties and how this could be apportioned depending on the number utilised via an API Interface Service.</w:t>
            </w:r>
            <w:r>
              <w:br w:type="textWrapping"/>
            </w:r>
            <w:r>
              <w:br w:type="textWrapping"/>
            </w:r>
            <w:r>
              <w:t>As a Distribution Network our preference</w:t>
            </w:r>
            <w:r>
              <w:t xml:space="preserve"> would be to gain access to the data we require to perform our obligations from Xoserve as the Gas Central Data Service Provider.</w:t>
            </w:r>
            <w:r>
              <w:br w:type="textWrapping"/>
            </w:r>
            <w:r>
              <w:br w:type="textWrapping"/>
            </w:r>
            <w:r>
              <w:t>If progressed SGN's preference would be for this to be implemented under a Minor Release which could provide flexibility in d</w:t>
            </w:r>
            <w:r>
              <w:t>elivery.</w:t>
            </w:r>
          </w:p>
        </w:tc>
      </w:tr>
      <w:tr>
        <w:trPr>
          <w:trHeight w:hRule="atLeast" w:val="40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Confirm Target Release Date?</w:t>
            </w:r>
          </w:p>
        </w:tc>
        <w:tc>
          <w:tcPr>
            <w:tcW w:type="pct" w:w="1452"/>
            <w:vAlign w:val="center"/>
            <w:tcBorders>
              <w:left w:val="single" w:sz="4" w:space="0" w:color="auto"/>
              <w:top w:val="single" w:sz="4" w:space="0" w:color="auto"/>
              <w:right w:val="single" w:sz="4" w:space="0" w:color="auto"/>
              <w:bottom w:val="single" w:sz="4" w:space="0" w:color="auto"/>
            </w:tcBorders>
            <w:gridSpan w:val="2"/>
          </w:tcPr>
          <w:p>
            <w:pPr>
              <w:rPr>
                <w:rFonts w:cs="Arial"/>
              </w:rPr>
            </w:pPr>
            <w:r>
              <w:t>No</w:t>
            </w:r>
          </w:p>
        </w:tc>
        <w:tc>
          <w:tcPr>
            <w:tcW w:type="pct" w:w="2325"/>
            <w:vAlign w:val="center"/>
            <w:tcBorders>
              <w:left w:val="single" w:sz="4" w:space="0" w:color="auto"/>
              <w:top w:val="single" w:sz="4" w:space="0" w:color="auto"/>
              <w:right w:val="single" w:sz="4" w:space="0" w:color="auto"/>
              <w:bottom w:val="single" w:sz="4" w:space="0" w:color="auto"/>
            </w:tcBorders>
          </w:tcPr>
          <w:p>
            <w:pPr>
              <w:rPr>
                <w:rFonts w:cs="Arial"/>
              </w:rPr>
            </w:pPr>
            <w:r>
              <w:t>N/A</w:t>
            </w:r>
          </w:p>
        </w:tc>
      </w:tr>
    </w:tbl>
    <w:p>
      <w:pPr/>
    </w:p>
    <w:p>
      <w:pPr>
        <w:pStyle w:val="heading 1"/>
      </w:pPr>
      <w:r>
        <w:t xml:space="preserve">H1: Xoserve’ s Response </w:t>
      </w:r>
    </w:p>
    <w:tbl>
      <w:tblPr>
        <w:tblStyle w:val="Table Grid"/>
        <w:tblInd w:type="dxa" w:w="-34"/>
        <w:tblW w:type="pct" w:w="5000"/>
        <w:tblLook w:firstColumn="1" w:firstRow="1" w:lastColumn="0" w:lastRow="0" w:noHBand="0" w:noVBand="1"/>
      </w:tblPr>
      <w:tblGrid>
        <w:gridCol w:w="2205"/>
        <w:gridCol w:w="6811"/>
      </w:tblGrid>
      <w:tr>
        <w:trPr>
          <w:trHeight w:hRule="atLeast" w:val="663"/>
        </w:trPr>
        <w:tc>
          <w:tcPr>
            <w:shd w:val="clear" w:fill="B3EDFB"/>
            <w:tcW w:type="pct" w:w="1223"/>
            <w:vAlign w:val="center"/>
            <w:tcBorders>
              <w:left w:val="single" w:sz="4" w:space="0" w:color="auto"/>
              <w:top w:val="single" w:sz="4" w:space="0" w:color="auto"/>
              <w:right w:val="single" w:sz="4" w:space="0" w:color="auto"/>
              <w:bottom w:val="single" w:sz="4" w:space="0" w:color="auto"/>
            </w:tcBorders>
          </w:tcPr>
          <w:p>
            <w:pPr>
              <w:rPr>
                <w:rFonts w:cs="Arial"/>
              </w:rPr>
              <w:jc w:val="right"/>
            </w:pPr>
            <w:r>
              <w:rPr>
                <w:rFonts w:cs="Arial"/>
              </w:rPr>
              <w:t>Xoserve Response to Organisations Comments:</w:t>
            </w:r>
          </w:p>
        </w:tc>
        <w:tc>
          <w:tcPr>
            <w:tcW w:type="pct" w:w="3777"/>
            <w:vAlign w:val="center"/>
            <w:tcBorders>
              <w:left w:val="single" w:sz="4" w:space="0" w:color="auto"/>
              <w:top w:val="single" w:sz="4" w:space="0" w:color="auto"/>
              <w:right w:val="single" w:sz="4" w:space="0" w:color="auto"/>
              <w:bottom w:val="single" w:sz="4" w:space="0" w:color="auto"/>
            </w:tcBorders>
          </w:tcPr>
          <w:p>
            <w:pPr>
              <w:rPr>
                <w:rFonts w:cs="Arial"/>
              </w:rPr>
            </w:pPr>
            <w:r>
              <w:t>As per discussions at the DN constituency meeting on 3rd March 2022, in the first instance DN parties require clarity on what data services</w:t>
            </w:r>
            <w:r>
              <w:t xml:space="preserve"> are available, currently, from the CDSP under DSC service lines. There is an action from CoMC for this information to be sourced and provided and, in addition to this, a number of queries on the functionality in GES were taken from the constituency meetin</w:t>
            </w:r>
            <w:r>
              <w:t>g for the CDSP to investigate and feedback on.</w:t>
            </w:r>
            <w:r>
              <w:br w:type="textWrapping"/>
            </w:r>
            <w:r>
              <w:br w:type="textWrapping"/>
            </w:r>
            <w:r>
              <w:t>Until the above actions are complete, and subsequently the requirement for/scope of this change can be confirmed it will be on hold but remain open subject to discussion and approval at Change Management Comm</w:t>
            </w:r>
            <w:r>
              <w:t>ittee on 9th March 2022.</w:t>
            </w:r>
          </w:p>
        </w:tc>
      </w:tr>
    </w:tbl>
    <w:p>
      <w:pPr/>
    </w:p>
    <w:p>
      <w:pPr/>
    </w:p>
    <w:p>
      <w:pPr/>
    </w:p>
    <w:p>
      <w:pPr/>
    </w:p>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1440" w:footer="708" w:gutter="0" w:header="708" w:left="1440" w:right="1440" w:top="1440"/>
      <w:pgNumType w:fmt="decimal"/>
      <w:cols w:equalWidth="1" w:num="1" w:space="708" w:sep="0"/>
      <w:headerReference w:type="default" r:id="R61b7ee8cb26a48b6"/>
      <w:footerReference w:type="default" r:id="R08565df97a904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1"/>
    <w:family w:val="auto"/>
    <w:notTrueType w:val="off"/>
    <w:pitch w:val="variable"/>
    <w:sig w:usb0="E0002EFF" w:usb1="C0007843" w:usb2="00000009" w:usb3="00000000" w:csb0="400001FF" w:csb1="FFFF0000"/>
    <w:altName w:val="Arial"/>
  </w:font>
  <w:font w:name="Calibri">
    <w:panose1 w:val="020F0502020204030204"/>
    <w:charset w:val="01"/>
    <w:family w:val="auto"/>
    <w:notTrueType w:val="off"/>
    <w:pitch w:val="variable"/>
    <w:sig w:usb0="E0002AFF" w:usb1="C000247B" w:usb2="00000009" w:usb3="00000000" w:csb0="200001FF" w:csb1="00000000"/>
  </w:font>
  <w:font w:name="Segoe UI">
    <w:panose1 w:val="020B0502040204020203"/>
    <w:charset w:val="01"/>
    <w:family w:val="auto"/>
    <w:notTrueType w:val="off"/>
    <w:pitch w:val="variable"/>
    <w:sig w:usb0="E4002EFF" w:usb1="C000E47F" w:usb2="00000009" w:usb3="00000000" w:csb0="200001FF" w:csb1="00000000"/>
  </w:font>
  <w:font w:name="Times New Roman">
    <w:panose1 w:val="02020603050405020304"/>
    <w:charset w:val="01"/>
    <w:family w:val="auto"/>
    <w:notTrueType w:val="off"/>
    <w:pitch w:val="variable"/>
    <w:sig w:usb0="E0002EFF" w:usb1="C000785B" w:usb2="00000009" w:usb3="00000000" w:csb0="400001FF" w:csb1="FFFF0000"/>
  </w:font>
  <w:font w:name="Tahoma">
    <w:panose1 w:val="020B0604030504040204"/>
    <w:charset w:val="01"/>
    <w:family w:val="auto"/>
    <w:notTrueType w:val="off"/>
    <w:pitch w:val="variable"/>
    <w:sig w:usb0="E1002EFF" w:usb1="C000605B" w:usb2="00000029" w:usb3="00000000" w:csb0="200101FF" w:csb1="2028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footer"/>
    </w:pPr>
    <w:r>
      <w:t>CP_V7.0</w:t>
    </w:r>
    <w:r>
      <mc:AlternateContent>
        <mc:Choice Requires="wps">
          <w:drawing>
            <wp:anchor allowOverlap="1" layoutInCell="1" relativeHeight="251658245" locked="0" simplePos="0" distL="114300" distT="0" distR="114300" distB="0" behindDoc="0">
              <wp:simplePos x="0" y="0"/>
              <wp:positionH relativeFrom="column">
                <wp:posOffset>-914400</wp:posOffset>
              </wp:positionH>
              <wp:positionV relativeFrom="paragraph">
                <wp:posOffset>376555</wp:posOffset>
              </wp:positionV>
              <wp:extent cx="7562850" cy="257175"/>
              <wp:effectExtent l="0" t="0" r="0" b="9525"/>
              <wp:wrapNone/>
              <wp:docPr id="4" name="drawingObject4"/>
              <wp:cNvGraphicFramePr/>
              <a:graphic>
                <a:graphicData uri="http://schemas.microsoft.com/office/word/2010/wordprocessingShape">
                  <wps:wsp>
                    <wps:cNvSpPr/>
                    <wps:spPr>
                      <a:xfrm rot="0">
                        <a:ext cx="7562850" cy="257175"/>
                      </a:xfrm>
                      <a:prstGeom prst="rect">
                        <a:avLst/>
                      </a:prstGeom>
                      <a:solidFill>
                        <a:srgbClr val="40D1F5"/>
                      </a:solidFill>
                    </wps:spPr>
                    <wps:bodyPr anchor="ctr" horzOverflow="overflow" vertOverflow="overflow" vert="horz" lIns="91440" tIns="45720" rIns="91440" bIns="45720"/>
                  </wps:wsp>
                </a:graphicData>
              </a:graphic>
            </wp:anchor>
          </w:drawing>
        </mc:Choice>
        <mc:Fallback/>
      </mc:AlternateContent>
    </w: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8246" locked="0" simplePos="0" distL="114300" distT="0" distR="114300" distB="0" behindDoc="0">
              <wp:simplePos x="0" y="0"/>
              <wp:positionH relativeFrom="column">
                <wp:posOffset>3743325</wp:posOffset>
              </wp:positionH>
              <wp:positionV relativeFrom="paragraph">
                <wp:posOffset>-70485</wp:posOffset>
              </wp:positionV>
              <wp:extent cx="2066926" cy="325750"/>
              <wp:effectExtent l="0" t="0" r="0" b="0"/>
              <wp:wrapNone/>
              <wp:docPr id="1" name="drawingObject1"/>
              <wp:cNvGraphicFramePr>
                <a:graphicFrameLocks noChangeAspect="1"/>
              </wp:cNvGraphicFramePr>
              <a:graphic>
                <a:graphicData uri="http://schemas.openxmlformats.org/drawingml/2006/picture">
                  <pic:pic>
                    <pic:nvPicPr>
                      <pic:cNvPr id="2" name="Picture 2"/>
                      <pic:cNvPicPr/>
                    </pic:nvPicPr>
                    <pic:blipFill>
                      <a:blip r:embed="R789f89cbc3ba4107"/>
                      <a:stretch/>
                    </pic:blipFill>
                    <pic:spPr>
                      <a:xfrm rot="0">
                        <a:ext cx="2066926" cy="325750"/>
                      </a:xfrm>
                      <a:prstGeom prst="rect">
                        <a:avLst/>
                      </a:prstGeom>
                      <a:noFill/>
                    </pic:spPr>
                  </pic:pic>
                </a:graphicData>
              </a:graphic>
            </wp:anchor>
          </w:drawing>
        </mc:Choice>
        <mc:Fallback/>
      </mc:AlternateContent>
    </w:r>
    <w:r>
      <mc:AlternateContent>
        <mc:Choice Requires="wps">
          <w:drawing>
            <wp:anchor allowOverlap="1" layoutInCell="1" relativeHeight="251658244" locked="0" simplePos="0" distL="114300" distT="0" distR="114300" distB="0" behindDoc="0">
              <wp:simplePos x="0" y="0"/>
              <wp:positionH relativeFrom="column">
                <wp:posOffset>-914400</wp:posOffset>
              </wp:positionH>
              <wp:positionV relativeFrom="paragraph">
                <wp:posOffset>-487681</wp:posOffset>
              </wp:positionV>
              <wp:extent cx="7562850" cy="257175"/>
              <wp:effectExtent l="0" t="0" r="0" b="9525"/>
              <wp:wrapNone/>
              <wp:docPr id="3" name="drawingObject3"/>
              <wp:cNvGraphicFramePr/>
              <a:graphic>
                <a:graphicData uri="http://schemas.microsoft.com/office/word/2010/wordprocessingShape">
                  <wps:wsp>
                    <wps:cNvSpPr/>
                    <wps:spPr>
                      <a:xfrm rot="0">
                        <a:ext cx="7562850" cy="257175"/>
                      </a:xfrm>
                      <a:prstGeom prst="rect">
                        <a:avLst/>
                      </a:prstGeom>
                      <a:solidFill>
                        <a:srgbClr val="3E5AA8"/>
                      </a:solidFill>
                    </wps:spPr>
                    <wps:bodyPr anchor="ctr" horzOverflow="overflow" vertOverflow="overflow" vert="horz" lIns="91440" tIns="45720" rIns="91440" bIns="45720"/>
                  </wps:wsp>
                </a:graphicData>
              </a:graphic>
            </wp:anchor>
          </w:drawing>
        </mc:Choice>
        <mc:Fallback/>
      </mc:AlternateContent>
    </w: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Style46"/>
    <w:multiLevelType w:val="hybridMultilevel"/>
    <w:name w:val="Style46"/>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0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Times New Roman" w:eastAsia="Times New Roman"/>
        <w:lang w:val="en-GB"/>
        <w:sz w:val="22"/>
        <w:szCs w:val="22"/>
      </w:rPr>
    </w:rPrDefault>
    <w:pPrDefault>
      <w:pPr>
        <w:spacing w:after="200" w:lineRule="auto" w:line="276"/>
      </w:pPr>
    </w:pPrDefault>
  </w:docDefaults>
  <w:style w:type="paragraph" w:styleId="Normal" w:default="1">
    <w:name w:val="Normal"/>
    <w:qFormat/>
  </w:style>
  <w:style w:type="paragraph" w:styleId="heading 1">
    <w:name w:val="heading 1"/>
    <w:qFormat/>
    <w:basedOn w:val="Normal"/>
    <w:pPr>
      <w:keepLines w:val="1"/>
      <w:keepNext w:val="1"/>
      <w:spacing w:before="480" w:after="0"/>
      <w:outlineLvl w:val="0"/>
    </w:pPr>
    <w:rPr>
      <w:b w:val="1"/>
      <w:bCs w:val="1"/>
      <w:color w:val="3E5AA8"/>
      <w:sz w:val="28"/>
      <w:szCs w:val="28"/>
    </w:rPr>
  </w:style>
  <w:style w:type="paragraph" w:styleId="heading 2">
    <w:name w:val="heading 2"/>
    <w:qFormat/>
    <w:basedOn w:val="Normal"/>
    <w:pPr>
      <w:keepLines w:val="1"/>
      <w:keepNext w:val="1"/>
      <w:spacing w:before="200" w:after="0"/>
      <w:outlineLvl w:val="1"/>
    </w:pPr>
    <w:rPr>
      <w:b w:val="1"/>
      <w:bCs w:val="1"/>
      <w:color w:val="6440A3"/>
      <w:sz w:val="26"/>
      <w:szCs w:val="26"/>
    </w:rPr>
  </w:style>
  <w:style w:type="paragraph" w:styleId="heading 3">
    <w:name w:val="heading 3"/>
    <w:qFormat/>
    <w:basedOn w:val="Normal"/>
    <w:pPr>
      <w:keepLines w:val="1"/>
      <w:keepNext w:val="1"/>
      <w:spacing w:before="200" w:after="0"/>
      <w:outlineLvl w:val="2"/>
    </w:pPr>
    <w:rPr>
      <w:b w:val="1"/>
      <w:bCs w:val="1"/>
      <w:color w:val="40D1F5"/>
    </w:rPr>
  </w:style>
  <w:style w:type="paragraph" w:styleId="heading 4">
    <w:name w:val="heading 4"/>
    <w:qFormat/>
    <w:basedOn w:val="Normal"/>
    <w:pPr>
      <w:keepLines w:val="1"/>
      <w:keepNext w:val="1"/>
      <w:spacing w:before="200" w:after="0"/>
      <w:outlineLvl w:val="3"/>
    </w:pPr>
    <w:rPr>
      <w:b w:val="1"/>
      <w:bCs w:val="1"/>
      <w:color w:val="3E5AA8"/>
      <w:i w:val="1"/>
      <w:iCs w:val="1"/>
    </w:rPr>
  </w:style>
  <w:style w:type="paragraph" w:styleId="heading 5">
    <w:name w:val="heading 5"/>
    <w:qFormat/>
    <w:basedOn w:val="Normal"/>
    <w:pPr>
      <w:keepLines w:val="1"/>
      <w:keepNext w:val="1"/>
      <w:spacing w:before="200" w:after="0"/>
      <w:outlineLvl w:val="4"/>
    </w:pPr>
    <w:rPr>
      <w:color w:val="1F2D54"/>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paragraph" w:styleId="No Spacing">
    <w:name w:val="No Spacing"/>
    <w:qFormat/>
    <w:pPr>
      <w:spacing w:after="0" w:lineRule="auto" w:line="240"/>
    </w:pPr>
  </w:style>
  <w:style w:type="character" w:styleId="Heading 1 Char">
    <w:name w:val="Heading 1 Char"/>
    <w:qFormat/>
    <w:basedOn w:val="Default Paragraph Font"/>
    <w:rPr>
      <w:b w:val="1"/>
      <w:bCs w:val="1"/>
      <w:color w:val="3E5AA8"/>
      <w:rFonts w:ascii="Arial" w:hAnsi="Arial"/>
      <w:sz w:val="28"/>
      <w:szCs w:val="28"/>
    </w:rPr>
  </w:style>
  <w:style w:type="character" w:styleId="Heading 2 Char">
    <w:name w:val="Heading 2 Char"/>
    <w:qFormat/>
    <w:basedOn w:val="Default Paragraph Font"/>
    <w:rPr>
      <w:b w:val="1"/>
      <w:bCs w:val="1"/>
      <w:color w:val="6440A3"/>
      <w:rFonts w:ascii="Arial" w:hAnsi="Arial"/>
      <w:sz w:val="26"/>
      <w:szCs w:val="26"/>
    </w:rPr>
  </w:style>
  <w:style w:type="paragraph" w:styleId="Title">
    <w:name w:val="Title"/>
    <w:qFormat/>
    <w:basedOn w:val="Normal"/>
    <w:pPr>
      <w:pBdr>
        <w:bottom w:val="single" w:sz="8" w:space="4" w:color="3E5AA8"/>
      </w:pBdr>
      <w:spacing w:after="300" w:lineRule="auto" w:line="240"/>
      <w:contextualSpacing w:val="1"/>
    </w:pPr>
    <w:rPr>
      <w:b w:val="1"/>
      <w:bCs w:val="1"/>
      <w:color w:val="1D3E61"/>
      <w:kern w:val="28"/>
      <w:sz w:val="52"/>
      <w:szCs w:val="52"/>
      <w:spacing w:val="5"/>
    </w:rPr>
  </w:style>
  <w:style w:type="character" w:styleId="Title Char">
    <w:name w:val="Title Char"/>
    <w:qFormat/>
    <w:basedOn w:val="Default Paragraph Font"/>
    <w:rPr>
      <w:b w:val="1"/>
      <w:bCs w:val="1"/>
      <w:color w:val="1D3E61"/>
      <w:rFonts w:ascii="Arial" w:hAnsi="Arial"/>
      <w:kern w:val="28"/>
      <w:sz w:val="52"/>
      <w:szCs w:val="52"/>
      <w:spacing w:val="5"/>
    </w:rPr>
  </w:style>
  <w:style w:type="paragraph" w:styleId="Subtitle">
    <w:name w:val="Subtitle"/>
    <w:qFormat/>
    <w:basedOn w:val="Normal"/>
    <w:rPr>
      <w:color w:val="56CF9E"/>
      <w:i w:val="1"/>
      <w:iCs w:val="1"/>
      <w:sz w:val="24"/>
      <w:szCs w:val="24"/>
      <w:spacing w:val="15"/>
    </w:rPr>
  </w:style>
  <w:style w:type="character" w:styleId="Subtitle Char">
    <w:name w:val="Subtitle Char"/>
    <w:qFormat/>
    <w:basedOn w:val="Default Paragraph Font"/>
    <w:rPr>
      <w:color w:val="56CF9E"/>
      <w:rFonts w:ascii="Arial" w:hAnsi="Arial"/>
      <w:i w:val="1"/>
      <w:iCs w:val="1"/>
      <w:sz w:val="24"/>
      <w:szCs w:val="24"/>
      <w:spacing w:val="15"/>
    </w:rPr>
  </w:style>
  <w:style w:type="character" w:styleId="Subtle Emphasis">
    <w:name w:val="Subtle Emphasis"/>
    <w:qFormat/>
    <w:basedOn w:val="Default Paragraph Font"/>
    <w:rPr>
      <w:color w:val="808080"/>
      <w:rFonts w:ascii="Arial" w:hAnsi="Arial"/>
      <w:i w:val="1"/>
      <w:iCs w:val="1"/>
    </w:rPr>
  </w:style>
  <w:style w:type="paragraph" w:styleId="header">
    <w:name w:val="header"/>
    <w:qFormat/>
    <w:basedOn w:val="Normal"/>
    <w:pPr>
      <w:tabs>
        <w:tab w:val="center" w:leader="none" w:pos="4513"/>
        <w:tab w:val="right" w:leader="none" w:pos="9026"/>
      </w:tabs>
      <w:spacing w:after="0" w:lineRule="auto" w:line="240"/>
    </w:pPr>
  </w:style>
  <w:style w:type="character" w:styleId="Header Char">
    <w:name w:val="Header Char"/>
    <w:qFormat/>
    <w:basedOn w:val="Default Paragraph Font"/>
    <w:rPr>
      <w:rFonts w:ascii="Arial" w:hAnsi="Arial"/>
    </w:rPr>
  </w:style>
  <w:style w:type="paragraph" w:styleId="footer">
    <w:name w:val="footer"/>
    <w:qFormat/>
    <w:basedOn w:val="Normal"/>
    <w:pPr>
      <w:tabs>
        <w:tab w:val="center" w:leader="none" w:pos="4513"/>
        <w:tab w:val="right" w:leader="none" w:pos="9026"/>
      </w:tabs>
      <w:spacing w:after="0" w:lineRule="auto" w:line="240"/>
    </w:pPr>
  </w:style>
  <w:style w:type="character" w:styleId="Footer Char">
    <w:name w:val="Footer Char"/>
    <w:qFormat/>
    <w:basedOn w:val="Default Paragraph Font"/>
    <w:rPr>
      <w:rFonts w:ascii="Arial" w:hAnsi="Arial"/>
    </w:rPr>
  </w:style>
  <w:style w:type="character" w:styleId="Heading 3 Char">
    <w:name w:val="Heading 3 Char"/>
    <w:qFormat/>
    <w:basedOn w:val="Default Paragraph Font"/>
    <w:rPr>
      <w:b w:val="1"/>
      <w:bCs w:val="1"/>
      <w:color w:val="40D1F5"/>
      <w:rFonts w:ascii="Arial" w:hAnsi="Arial"/>
    </w:rPr>
  </w:style>
  <w:style w:type="paragraph" w:styleId="Balloon Text">
    <w:name w:val="Balloon Text"/>
    <w:qFormat/>
    <w:basedOn w:val="Normal"/>
    <w:pPr>
      <w:spacing w:after="0" w:lineRule="auto" w:line="240"/>
    </w:pPr>
    <w:rPr>
      <w:rFonts w:ascii="Tahoma" w:hAnsi="Tahoma" w:cs="Tahoma"/>
      <w:sz w:val="16"/>
      <w:szCs w:val="16"/>
    </w:rPr>
  </w:style>
  <w:style w:type="character" w:styleId="Balloon Text Char">
    <w:name w:val="Balloon Text Char"/>
    <w:qFormat/>
    <w:basedOn w:val="Default Paragraph Font"/>
    <w:rPr>
      <w:rFonts w:ascii="Tahoma" w:hAnsi="Tahoma" w:cs="Tahoma"/>
      <w:sz w:val="16"/>
      <w:szCs w:val="16"/>
    </w:rPr>
  </w:style>
  <w:style w:type="character" w:styleId="Hyperlink">
    <w:name w:val="Hyperlink"/>
    <w:qFormat/>
    <w:basedOn w:val="Default Paragraph Font"/>
    <w:rPr>
      <w:color w:val="6440A3"/>
      <w:u w:val="single"/>
    </w:rPr>
  </w:style>
  <w:style w:type="character" w:styleId="Heading 4 Char">
    <w:name w:val="Heading 4 Char"/>
    <w:qFormat/>
    <w:basedOn w:val="Default Paragraph Font"/>
    <w:rPr>
      <w:b w:val="1"/>
      <w:bCs w:val="1"/>
      <w:color w:val="3E5AA8"/>
      <w:rFonts w:ascii="Arial" w:hAnsi="Arial"/>
      <w:i w:val="1"/>
      <w:iCs w:val="1"/>
    </w:rPr>
  </w:style>
  <w:style w:type="character" w:styleId="Heading 5 Char">
    <w:name w:val="Heading 5 Char"/>
    <w:qFormat/>
    <w:basedOn w:val="Default Paragraph Font"/>
    <w:rPr>
      <w:color w:val="1F2D54"/>
      <w:rFonts w:ascii="Arial" w:hAnsi="Arial"/>
    </w:rPr>
  </w:style>
  <w:style w:type="character" w:styleId="Intense Emphasis">
    <w:name w:val="Intense Emphasis"/>
    <w:qFormat/>
    <w:basedOn w:val="Default Paragraph Font"/>
    <w:rPr>
      <w:b w:val="1"/>
      <w:bCs w:val="1"/>
      <w:color w:val="3E5AA8"/>
      <w:i w:val="1"/>
      <w:iCs w:val="1"/>
    </w:rPr>
  </w:style>
  <w:style w:type="character" w:styleId="Strong">
    <w:name w:val="Strong"/>
    <w:qFormat/>
    <w:basedOn w:val="Default Paragraph Font"/>
    <w:rPr>
      <w:b w:val="1"/>
      <w:bCs w:val="1"/>
    </w:rPr>
  </w:style>
  <w:style w:type="paragraph" w:styleId="Quote">
    <w:name w:val="Quote"/>
    <w:qFormat/>
    <w:basedOn w:val="Normal"/>
    <w:rPr>
      <w:color w:val="000000"/>
      <w:i w:val="1"/>
      <w:iCs w:val="1"/>
    </w:rPr>
  </w:style>
  <w:style w:type="character" w:styleId="Quote Char">
    <w:name w:val="Quote Char"/>
    <w:qFormat/>
    <w:basedOn w:val="Default Paragraph Font"/>
    <w:rPr>
      <w:color w:val="000000"/>
      <w:rFonts w:ascii="Arial" w:hAnsi="Arial"/>
      <w:i w:val="1"/>
      <w:iCs w:val="1"/>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pPr>
      <w:spacing w:after="0" w:lineRule="auto" w:line="240"/>
    </w:pPr>
  </w:style>
  <w:style w:type="paragraph" w:styleId="List Paragraph">
    <w:name w:val="List Paragraph"/>
    <w:qFormat/>
    <w:basedOn w:val="Normal"/>
    <w:pPr>
      <w:ind w:left="720"/>
      <w:contextualSpacing w:val="1"/>
    </w:pPr>
  </w:style>
  <w:style w:type="character" w:styleId="annotation reference">
    <w:name w:val="annotation reference"/>
    <w:qFormat/>
    <w:basedOn w:val="Default Paragraph Font"/>
    <w:rPr>
      <w:sz w:val="16"/>
      <w:szCs w:val="16"/>
    </w:rPr>
  </w:style>
  <w:style w:type="paragraph" w:styleId="annotation text">
    <w:name w:val="annotation text"/>
    <w:qFormat/>
    <w:basedOn w:val="Normal"/>
    <w:pPr>
      <w:spacing w:lineRule="auto" w:line="240"/>
    </w:pPr>
    <w:rPr>
      <w:sz w:val="20"/>
      <w:szCs w:val="20"/>
    </w:rPr>
  </w:style>
  <w:style w:type="character" w:styleId="Comment Text Char">
    <w:name w:val="Comment Text Char"/>
    <w:qFormat/>
    <w:basedOn w:val="Default Paragraph Font"/>
    <w:rPr>
      <w:rFonts w:ascii="Arial" w:hAnsi="Arial"/>
      <w:sz w:val="20"/>
      <w:szCs w:val="20"/>
    </w:rPr>
  </w:style>
  <w:style w:type="paragraph" w:styleId="annotation subject">
    <w:name w:val="annotation subject"/>
    <w:qFormat/>
    <w:basedOn w:val="annotation text"/>
    <w:rPr>
      <w:b w:val="1"/>
      <w:bCs w:val="1"/>
    </w:rPr>
  </w:style>
  <w:style w:type="character" w:styleId="Comment Subject Char">
    <w:name w:val="Comment Subject Char"/>
    <w:qFormat/>
    <w:basedOn w:val="Comment Text Char"/>
    <w:rPr>
      <w:b w:val="1"/>
      <w:bCs w:val="1"/>
      <w:rFonts w:ascii="Arial" w:hAnsi="Arial"/>
      <w:sz w:val="20"/>
      <w:szCs w:val="20"/>
    </w:rPr>
  </w:style>
  <w:style w:type="character" w:styleId="Placeholder Text">
    <w:name w:val="Placeholder Text"/>
    <w:qFormat/>
    <w:basedOn w:val="Default Paragraph Font"/>
    <w:rPr>
      <w:color w:val="808080"/>
    </w:rPr>
  </w:style>
  <w:style w:type="character" w:styleId="List Paragraph Char">
    <w:name w:val="List Paragraph Char"/>
    <w:qFormat/>
    <w:basedOn w:val="Default Paragraph Font"/>
  </w:style>
  <w:style w:type="paragraph" w:styleId="paragraph">
    <w:name w:val="paragraph"/>
    <w:qFormat/>
    <w:basedOn w:val="Normal"/>
    <w:pPr>
      <w:spacing w:before="100" w:beforeAutospacing="1" w:after="100" w:afterAutospacing="1" w:lineRule="auto" w:line="240"/>
    </w:pPr>
    <w:rPr>
      <w:rFonts w:ascii="Times New Roman" w:hAnsi="Times New Roman"/>
      <w:sz w:val="24"/>
      <w:szCs w:val="24"/>
    </w:rPr>
  </w:style>
  <w:style w:type="character" w:styleId="normaltextrun">
    <w:name w:val="normaltextrun"/>
    <w:qFormat/>
    <w:basedOn w:val="Default Paragraph Font"/>
  </w:style>
  <w:style w:type="character" w:styleId="eop">
    <w:name w:val="eop"/>
    <w:qFormat/>
    <w:basedOn w:val="Default Paragraph Font"/>
  </w:style>
  <w:style w:type="character" w:styleId="spellingerror">
    <w:name w:val="spellingerror"/>
    <w:qFormat/>
    <w:basedOn w:val="Default Paragraph Font"/>
  </w:style>
  <w:style w:type="table" w:styleId="Grid Table 4 Accent 1">
    <w:name w:val="Grid Table 4 Accent 1"/>
    <w:qFormat/>
    <w:basedOn w:val="Normal Table"/>
    <w:tblPr>
      <w:tblStyleRowBandSize w:val="1"/>
      <w:tblStyleColBandSize w:val="1"/>
      <w:tblBorders>
        <w:left w:val="single" w:sz="4" w:space="0" w:color="8499D2"/>
        <w:top w:val="single" w:sz="4" w:space="0" w:color="8499D2"/>
        <w:right w:val="single" w:sz="4" w:space="0" w:color="8499D2"/>
        <w:bottom w:val="single" w:sz="4" w:space="0" w:color="8499D2"/>
        <w:insideH w:val="single" w:sz="4" w:space="0" w:color="8499D2"/>
        <w:insideV w:val="single" w:sz="4" w:space="0" w:color="8499D2"/>
      </w:tblBorders>
    </w:tblPr>
    <w:pPr>
      <w:spacing w:after="0" w:lineRule="auto" w:line="240"/>
    </w:pPr>
    <w:rPr>
      <w:rFonts w:eastAsia="Arial"/>
    </w:rPr>
    <w:tblStylePr w:type="firstRow">
      <w:tcPr>
        <w:shd w:val="clear" w:fill="3E5AA8"/>
        <w:tcBorders>
          <w:left w:val="single" w:sz="4" w:space="0" w:color="3E5AA8"/>
          <w:top w:val="single" w:sz="4" w:space="0" w:color="3E5AA8"/>
          <w:right w:val="single" w:sz="4" w:space="0" w:color="3E5AA8"/>
          <w:bottom w:val="single" w:sz="4" w:space="0" w:color="3E5AA8"/>
          <w:insideH w:val="nil"/>
          <w:insideV w:val="nil"/>
        </w:tcBorders>
      </w:tcPr>
      <w:rPr>
        <w:b w:val="1"/>
        <w:bCs w:val="1"/>
        <w:color w:val="FFFFFF"/>
      </w:rPr>
    </w:tblStylePr>
    <w:tblStylePr w:type="lastRow">
      <w:tcPr>
        <w:tcBorders>
          <w:top w:val="double" w:sz="4" w:space="0" w:color="3E5AA8"/>
        </w:tcBorders>
      </w:tcPr>
      <w:rPr>
        <w:b w:val="1"/>
        <w:bCs w:val="1"/>
      </w:rPr>
    </w:tblStylePr>
    <w:tblStylePr w:type="firstCol">
      <w:rPr>
        <w:b w:val="1"/>
        <w:bCs w:val="1"/>
      </w:rPr>
    </w:tblStylePr>
    <w:tblStylePr w:type="lastCol">
      <w:rPr>
        <w:b w:val="1"/>
        <w:bCs w:val="1"/>
      </w:rPr>
    </w:tblStylePr>
    <w:tblStylePr w:type="band1Vert">
      <w:tcPr>
        <w:shd w:val="clear" w:fill="D6DDF0"/>
      </w:tcPr>
    </w:tblStylePr>
    <w:tblStylePr w:type="band1Horz">
      <w:tcPr>
        <w:shd w:val="clear" w:fill="D6DDF0"/>
      </w:tcPr>
    </w:tblStylePr>
  </w:style>
  <w:style w:type="character" w:styleId="Unresolved Mention">
    <w:name w:val="Unresolved Mention"/>
    <w:qFormat/>
    <w:basedOn w:val="Default Paragraph Font"/>
    <w:rPr>
      <w:shd w:val="clear" w:fill="E1DFDD"/>
      <w:color w:val="605E5C"/>
    </w:rPr>
  </w:style>
  <w:style w:type="character" w:styleId="FollowedHyperlink">
    <w:name w:val="FollowedHyperlink"/>
    <w:qFormat/>
    <w:basedOn w:val="Default Paragraph Font"/>
    <w:rPr>
      <w:color w:val="D2232A"/>
      <w:u w:val="single"/>
    </w:rPr>
  </w:style>
  <w:style w:type="numbering" w:styleId="Style46">
    <w:name w:val="Style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mes.Barlow@xoserve.com" TargetMode="External" Id="Rd67c011cfec34dd9" /><Relationship Type="http://schemas.openxmlformats.org/officeDocument/2006/relationships/hyperlink" Target="https://www.xoserve.com/change/change-proposals/xrn-5471-services-to-release-data-to-unc-parties/?return=/change/change-proposals/?customers=&amp;statuses=&amp;search=" TargetMode="External" Id="R8ea75c88476b45b8" /><Relationship Type="http://schemas.openxmlformats.org/officeDocument/2006/relationships/header" Target="header1.xml" Id="R61b7ee8cb26a48b6" /><Relationship Type="http://schemas.openxmlformats.org/officeDocument/2006/relationships/footer" Target="footer1.xml" Id="R08565df97a904072" /><Relationship Type="http://schemas.openxmlformats.org/officeDocument/2006/relationships/customXml" Target="/customXml/item1.xml" Id="R7ee5e4e3ce084714" /><Relationship Type="http://schemas.openxmlformats.org/officeDocument/2006/relationships/customXml" Target="/customXml/item2.xml" Id="R7d0054e8d99f4d39" /><Relationship Type="http://schemas.openxmlformats.org/officeDocument/2006/relationships/customXml" Target="/customXml/item3.xml" Id="R7010324c78c94975" /><Relationship Type="http://schemas.openxmlformats.org/officeDocument/2006/relationships/styles" Target="styles.xml" Id="R4470afab8a5244ee" /><Relationship Type="http://schemas.openxmlformats.org/officeDocument/2006/relationships/fontTable" Target="fontTable.xml" Id="R233bc25c137c435f" /><Relationship Type="http://schemas.openxmlformats.org/officeDocument/2006/relationships/numbering" Target="numbering.xml" Id="R4f85819a9dc545a1" /><Relationship Type="http://schemas.openxmlformats.org/officeDocument/2006/relationships/settings" Target="settings.xml" Id="R25cbd04d85c84955" /><Relationship Type="http://schemas.openxmlformats.org/officeDocument/2006/relationships/webSettings" Target="webSettings.xml" Id="Rbbb86c6b5d404d4b" /></Relationships>
</file>

<file path=word/_rels/header1.xml.rels>&#65279;<?xml version="1.0" encoding="utf-8"?><Relationships xmlns="http://schemas.openxmlformats.org/package/2006/relationships"><Relationship Type="http://schemas.openxmlformats.org/officeDocument/2006/relationships/image" Target="media/s25dd3jw.png" Id="R789f89cbc3ba4107" /></Relationships>
</file>

<file path=customXml/_rels/item1.xml.rels>&#65279;<?xml version="1.0" encoding="utf-8"?><Relationships xmlns="http://schemas.openxmlformats.org/package/2006/relationships"><Relationship Type="http://schemas.openxmlformats.org/officeDocument/2006/relationships/customXmlProps" Target="itemProps1.xml" Id="R983745c761d748cd" /></Relationships>
</file>

<file path=customXml/_rels/item2.xml.rels>&#65279;<?xml version="1.0" encoding="utf-8"?><Relationships xmlns="http://schemas.openxmlformats.org/package/2006/relationships"><Relationship Type="http://schemas.openxmlformats.org/officeDocument/2006/relationships/customXmlProps" Target="itemProps2.xml" Id="R9673485f28e04fea" /></Relationships>
</file>

<file path=customXml/_rels/item3.xml.rels>&#65279;<?xml version="1.0" encoding="utf-8"?><Relationships xmlns="http://schemas.openxmlformats.org/package/2006/relationships"><Relationship Type="http://schemas.openxmlformats.org/officeDocument/2006/relationships/customXmlProps" Target="itemProps3.xml" Id="R43ae7d7993d049d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7A9BCA17974BB0E9253CE8D8CFED" ma:contentTypeVersion="14" ma:contentTypeDescription="Create a new document." ma:contentTypeScope="" ma:versionID="3092215e6f9cffa730997ca78fbc06b1">
  <xsd:schema xmlns:xsd="http://www.w3.org/2001/XMLSchema" xmlns:xs="http://www.w3.org/2001/XMLSchema" xmlns:p="http://schemas.microsoft.com/office/2006/metadata/properties" xmlns:ns3="b5d8c402-b464-4f85-b954-cddb3da0df20" xmlns:ns4="afe9fadc-cf94-4dd1-a692-a3c9fbf85351" targetNamespace="http://schemas.microsoft.com/office/2006/metadata/properties" ma:root="true" ma:fieldsID="8e76781f952f78df18c32fa395bd0a8d" ns3:_="" ns4:_="">
    <xsd:import namespace="b5d8c402-b464-4f85-b954-cddb3da0df20"/>
    <xsd:import namespace="afe9fadc-cf94-4dd1-a692-a3c9fbf853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8c402-b464-4f85-b954-cddb3da0d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e9fadc-cf94-4dd1-a692-a3c9fbf853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9EF43-4774-45B9-B641-5BFDB0887601}">
  <ds:schemaRefs>
    <ds:schemaRef ds:uri="http://www.w3.org/XML/1998/namespace"/>
    <ds:schemaRef ds:uri="http://schemas.microsoft.com/office/2006/metadata/properties"/>
    <ds:schemaRef ds:uri="http://schemas.microsoft.com/office/2006/documentManagement/types"/>
    <ds:schemaRef ds:uri="http://purl.org/dc/dcmitype/"/>
    <ds:schemaRef ds:uri="b5d8c402-b464-4f85-b954-cddb3da0df20"/>
    <ds:schemaRef ds:uri="http://purl.org/dc/terms/"/>
    <ds:schemaRef ds:uri="http://purl.org/dc/elements/1.1/"/>
    <ds:schemaRef ds:uri="http://schemas.openxmlformats.org/package/2006/metadata/core-properties"/>
    <ds:schemaRef ds:uri="http://schemas.microsoft.com/office/infopath/2007/PartnerControls"/>
    <ds:schemaRef ds:uri="afe9fadc-cf94-4dd1-a692-a3c9fbf85351"/>
  </ds:schemaRefs>
</ds:datastoreItem>
</file>

<file path=customXml/itemProps2.xml><?xml version="1.0" encoding="utf-8"?>
<ds:datastoreItem xmlns:ds="http://schemas.openxmlformats.org/officeDocument/2006/customXml" ds:itemID="{EFAA80F7-20C1-4252-B3DE-52BC9F943C40}">
  <ds:schemaRefs>
    <ds:schemaRef ds:uri="http://schemas.microsoft.com/sharepoint/v3/contenttype/forms"/>
  </ds:schemaRefs>
</ds:datastoreItem>
</file>

<file path=customXml/itemProps3.xml><?xml version="1.0" encoding="utf-8"?>
<ds:datastoreItem xmlns:ds="http://schemas.openxmlformats.org/officeDocument/2006/customXml" ds:itemID="{25099D06-21A6-4343-A382-0F1D6075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8c402-b464-4f85-b954-cddb3da0df20"/>
    <ds:schemaRef ds:uri="afe9fadc-cf94-4dd1-a692-a3c9fbf85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Document .Net v.5.5.4.14</Application>
  <Company>National Grid</Company>
  <Pages>5</Pages>
  <Words>1127</Words>
  <Characters>6427</Characters>
  <CharactersWithSpaces>7539</CharactersWithSpaces>
  <Lines>53</Lin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Megan Troth</cp:lastModifiedBy>
  <dcterms:created xsi:type="dcterms:W3CDTF">2022-03-09T13:50:00Z</dcterms:created>
  <dcterms:modified xsi:type="dcterms:W3CDTF">2022-03-09T13:50:00Z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0x01010024FE7A9BCA17974BB0E9253CE8D8CFED</vt:lpwstr>
  </property>
</Properties>
</file>